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企业家社会资本、资源获取与企业创新行为关系研究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管 理 学 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杨 永 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2017020623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企 业 管 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罗 敏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  <w:t>周莉莉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  <w:t>教授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贺踦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马俊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邢文杰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张伟</w:t>
            </w:r>
          </w:p>
        </w:tc>
        <w:tc>
          <w:tcPr>
            <w:tcW w:w="2074" w:type="dxa"/>
            <w:vAlign w:val="top"/>
          </w:tcPr>
          <w:p>
            <w:pPr>
              <w:pStyle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葛小庆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https://meeting.tencent.com/s/tfiLJuxOt2aq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751 746 280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+8675536550000,,751746280#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钉钉会议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21412457764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无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F142FF7"/>
    <w:rsid w:val="55146D69"/>
    <w:rsid w:val="6850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Table Paragraph"/>
    <w:basedOn w:val="1"/>
    <w:qFormat/>
    <w:uiPriority w:val="1"/>
    <w:rPr>
      <w:rFonts w:ascii="PMingLiU" w:hAnsi="PMingLiU" w:eastAsia="PMingLiU" w:cs="PMingLiU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6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桃岭妖人</cp:lastModifiedBy>
  <dcterms:modified xsi:type="dcterms:W3CDTF">2020-05-22T08:17:51Z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